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D8CAF" w14:textId="1007B969" w:rsidR="00E04282" w:rsidRPr="00E04282" w:rsidRDefault="00CA1712" w:rsidP="00E04282">
      <w:pPr>
        <w:pStyle w:val="Default"/>
        <w:ind w:left="2832" w:firstLine="708"/>
        <w:rPr>
          <w:b/>
          <w:bCs/>
          <w:sz w:val="56"/>
          <w:szCs w:val="22"/>
        </w:rPr>
      </w:pPr>
      <w:r w:rsidRPr="00E04282">
        <w:rPr>
          <w:b/>
          <w:bCs/>
          <w:sz w:val="56"/>
          <w:szCs w:val="22"/>
        </w:rPr>
        <w:t>A</w:t>
      </w:r>
      <w:r w:rsidR="00337E89">
        <w:rPr>
          <w:b/>
          <w:bCs/>
          <w:sz w:val="56"/>
          <w:szCs w:val="22"/>
        </w:rPr>
        <w:t>dendo</w:t>
      </w:r>
      <w:r w:rsidRPr="00E04282">
        <w:rPr>
          <w:b/>
          <w:bCs/>
          <w:sz w:val="56"/>
          <w:szCs w:val="22"/>
        </w:rPr>
        <w:t xml:space="preserve"> II</w:t>
      </w:r>
    </w:p>
    <w:p w14:paraId="71BAFAE0" w14:textId="77777777" w:rsidR="00E04282" w:rsidRDefault="00CA1712" w:rsidP="00CA1712">
      <w:pPr>
        <w:pStyle w:val="Default"/>
        <w:rPr>
          <w:b/>
          <w:bCs/>
          <w:sz w:val="22"/>
          <w:szCs w:val="22"/>
        </w:rPr>
      </w:pPr>
      <w:r w:rsidRPr="00E6092C">
        <w:rPr>
          <w:b/>
          <w:bCs/>
          <w:sz w:val="22"/>
          <w:szCs w:val="22"/>
        </w:rPr>
        <w:t xml:space="preserve"> </w:t>
      </w:r>
      <w:r w:rsidR="00E04282">
        <w:rPr>
          <w:b/>
          <w:bCs/>
          <w:sz w:val="22"/>
          <w:szCs w:val="22"/>
        </w:rPr>
        <w:t xml:space="preserve">                               </w:t>
      </w:r>
    </w:p>
    <w:p w14:paraId="2D375365" w14:textId="77777777" w:rsidR="00E04282" w:rsidRDefault="00E04282" w:rsidP="00CA1712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3E871272" w14:textId="77777777" w:rsidR="00CA1712" w:rsidRPr="00E04282" w:rsidRDefault="00E04282" w:rsidP="00CA1712">
      <w:pPr>
        <w:pStyle w:val="Default"/>
        <w:rPr>
          <w:b/>
          <w:bCs/>
          <w:sz w:val="32"/>
          <w:szCs w:val="22"/>
        </w:rPr>
      </w:pPr>
      <w:r w:rsidRPr="00E04282">
        <w:rPr>
          <w:b/>
          <w:bCs/>
          <w:sz w:val="32"/>
          <w:szCs w:val="22"/>
        </w:rPr>
        <w:t xml:space="preserve">       </w:t>
      </w:r>
      <w:r>
        <w:rPr>
          <w:b/>
          <w:bCs/>
          <w:sz w:val="32"/>
          <w:szCs w:val="22"/>
        </w:rPr>
        <w:t xml:space="preserve">      </w:t>
      </w:r>
      <w:r w:rsidRPr="00E04282">
        <w:rPr>
          <w:b/>
          <w:bCs/>
          <w:sz w:val="32"/>
          <w:szCs w:val="22"/>
        </w:rPr>
        <w:t xml:space="preserve">    </w:t>
      </w:r>
      <w:r w:rsidR="00CA1712" w:rsidRPr="00E04282">
        <w:rPr>
          <w:b/>
          <w:bCs/>
          <w:sz w:val="32"/>
          <w:szCs w:val="22"/>
        </w:rPr>
        <w:t>Instrumento de Mediçã</w:t>
      </w:r>
      <w:r w:rsidR="00F82D10" w:rsidRPr="00E04282">
        <w:rPr>
          <w:b/>
          <w:bCs/>
          <w:sz w:val="32"/>
          <w:szCs w:val="22"/>
        </w:rPr>
        <w:t>o de</w:t>
      </w:r>
      <w:r w:rsidR="00CA1712" w:rsidRPr="00E04282">
        <w:rPr>
          <w:b/>
          <w:bCs/>
          <w:sz w:val="32"/>
          <w:szCs w:val="22"/>
        </w:rPr>
        <w:t xml:space="preserve"> Resultado-IMR </w:t>
      </w:r>
    </w:p>
    <w:p w14:paraId="5EDB8790" w14:textId="77777777" w:rsidR="00502A75" w:rsidRPr="00280D0B" w:rsidRDefault="00502A75" w:rsidP="00CA1712">
      <w:pPr>
        <w:pStyle w:val="Default"/>
        <w:rPr>
          <w:b/>
          <w:bCs/>
          <w:sz w:val="20"/>
          <w:szCs w:val="20"/>
        </w:rPr>
      </w:pPr>
    </w:p>
    <w:p w14:paraId="26EC8B96" w14:textId="77777777" w:rsidR="00CA1712" w:rsidRDefault="00CA1712" w:rsidP="00CA1712">
      <w:pPr>
        <w:pStyle w:val="Default"/>
        <w:rPr>
          <w:sz w:val="20"/>
          <w:szCs w:val="20"/>
        </w:rPr>
      </w:pPr>
    </w:p>
    <w:p w14:paraId="5BB3BF06" w14:textId="77777777" w:rsidR="00E6092C" w:rsidRPr="00280D0B" w:rsidRDefault="00E6092C" w:rsidP="00CA1712">
      <w:pPr>
        <w:pStyle w:val="Default"/>
        <w:rPr>
          <w:sz w:val="20"/>
          <w:szCs w:val="20"/>
        </w:rPr>
      </w:pPr>
    </w:p>
    <w:p w14:paraId="19B4389A" w14:textId="77777777" w:rsidR="00E6092C" w:rsidRDefault="00E6092C" w:rsidP="00E6092C">
      <w:pPr>
        <w:pStyle w:val="Default"/>
        <w:numPr>
          <w:ilvl w:val="0"/>
          <w:numId w:val="2"/>
        </w:numPr>
        <w:spacing w:after="139"/>
        <w:rPr>
          <w:b/>
          <w:sz w:val="20"/>
          <w:szCs w:val="20"/>
        </w:rPr>
      </w:pPr>
      <w:r w:rsidRPr="00E6092C">
        <w:rPr>
          <w:b/>
          <w:sz w:val="20"/>
          <w:szCs w:val="20"/>
        </w:rPr>
        <w:t>INFORMAÇÕES GERAIS</w:t>
      </w:r>
    </w:p>
    <w:p w14:paraId="31EC233E" w14:textId="77777777" w:rsidR="00E6092C" w:rsidRPr="00E6092C" w:rsidRDefault="00E6092C" w:rsidP="00E6092C">
      <w:pPr>
        <w:pStyle w:val="Default"/>
        <w:spacing w:after="139"/>
        <w:ind w:left="405"/>
        <w:rPr>
          <w:b/>
          <w:sz w:val="20"/>
          <w:szCs w:val="20"/>
        </w:rPr>
      </w:pPr>
    </w:p>
    <w:p w14:paraId="4B10DD4F" w14:textId="77777777" w:rsidR="00CA1712" w:rsidRPr="00280D0B" w:rsidRDefault="00CA1712" w:rsidP="0062028E">
      <w:pPr>
        <w:pStyle w:val="Default"/>
        <w:numPr>
          <w:ilvl w:val="1"/>
          <w:numId w:val="2"/>
        </w:numPr>
        <w:spacing w:after="139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O Instrumento de Medição do Resultado-IMR é o mecanismo que define, em bases compreensíveis, tangíveis, objetivamente observáveis e comprováveis, os níveis esperados de qualidade da prestação dos serviços e respectivas adequações de pagamento. </w:t>
      </w:r>
    </w:p>
    <w:p w14:paraId="61070D18" w14:textId="77777777" w:rsidR="00CA1712" w:rsidRPr="00280D0B" w:rsidRDefault="00CA1712" w:rsidP="0062028E">
      <w:pPr>
        <w:pStyle w:val="Default"/>
        <w:numPr>
          <w:ilvl w:val="1"/>
          <w:numId w:val="2"/>
        </w:numPr>
        <w:spacing w:after="139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O objetivo do IMR é vincular o pagamento dos serviços aos resultados alcançados, em complemento à mensuração dos serviços efetivamente prestados, não devendo as reduções de pagamento, originadas pelo descumprimento do IMR, serem interpretadas como penalidades ou multas. </w:t>
      </w:r>
    </w:p>
    <w:p w14:paraId="668E330C" w14:textId="77777777" w:rsidR="00CA1712" w:rsidRPr="00280D0B" w:rsidRDefault="00CA1712" w:rsidP="00100F68">
      <w:pPr>
        <w:pStyle w:val="Default"/>
        <w:numPr>
          <w:ilvl w:val="1"/>
          <w:numId w:val="2"/>
        </w:numPr>
        <w:spacing w:before="120" w:after="120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A Fiscalização técnica deverá utilizar o Instrumento de Medição de Resultado (IMR) para aferição da qualidade da prestação dos serviços, devendo haver o redimensionamento no pagamento com base nos indicadores estabelecidos, sempre que a contratada: </w:t>
      </w:r>
    </w:p>
    <w:p w14:paraId="784951AF" w14:textId="77777777" w:rsidR="00CA1712" w:rsidRPr="00280D0B" w:rsidRDefault="00CA1712" w:rsidP="00100F68">
      <w:pPr>
        <w:pStyle w:val="Default"/>
        <w:numPr>
          <w:ilvl w:val="2"/>
          <w:numId w:val="2"/>
        </w:numPr>
        <w:spacing w:before="120" w:after="120"/>
        <w:ind w:left="993" w:hanging="567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Não produzir os resultados, deixar de executar, ou não executar com qualidade mínima exigida as atividades contratadas; ou </w:t>
      </w:r>
    </w:p>
    <w:p w14:paraId="2FCFB038" w14:textId="77777777" w:rsidR="00CA1712" w:rsidRPr="00280D0B" w:rsidRDefault="00CA1712" w:rsidP="00100F68">
      <w:pPr>
        <w:pStyle w:val="Default"/>
        <w:numPr>
          <w:ilvl w:val="2"/>
          <w:numId w:val="2"/>
        </w:numPr>
        <w:spacing w:before="120" w:after="120"/>
        <w:ind w:left="993" w:hanging="567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Deixar de utilizar materiais e recursos humanos exigidos para a execução do serviço, ou utilizá-los com qualidade ou quantidade inferior à demandada. </w:t>
      </w:r>
    </w:p>
    <w:p w14:paraId="4DA821BF" w14:textId="77777777" w:rsidR="00CA1712" w:rsidRPr="00280D0B" w:rsidRDefault="00CA1712" w:rsidP="0062028E">
      <w:pPr>
        <w:pStyle w:val="Default"/>
        <w:numPr>
          <w:ilvl w:val="1"/>
          <w:numId w:val="2"/>
        </w:numPr>
        <w:spacing w:after="136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A utilização do IMR não impede a aplicação concomitante de outros mecanismos para a avaliação da prestação dos serviços. </w:t>
      </w:r>
    </w:p>
    <w:p w14:paraId="46236837" w14:textId="77777777" w:rsidR="00CA1712" w:rsidRPr="00280D0B" w:rsidRDefault="00CA1712" w:rsidP="0062028E">
      <w:pPr>
        <w:pStyle w:val="Default"/>
        <w:numPr>
          <w:ilvl w:val="1"/>
          <w:numId w:val="2"/>
        </w:numPr>
        <w:spacing w:after="136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A aplicação do IMR, utilizada mensalmente pelo fiscal técnico, deverá seguir a metodologia disposta neste documento. </w:t>
      </w:r>
    </w:p>
    <w:p w14:paraId="5761D8ED" w14:textId="77777777" w:rsidR="00CA1712" w:rsidRPr="00280D0B" w:rsidRDefault="00CA1712" w:rsidP="0062028E">
      <w:pPr>
        <w:pStyle w:val="Default"/>
        <w:numPr>
          <w:ilvl w:val="1"/>
          <w:numId w:val="2"/>
        </w:numPr>
        <w:spacing w:after="136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O prestador de serviço poderá apresentar justificativa para a prestação do serviço com menor nível de conformidade, que poderá ser aceita pelo órgão ou entidade, desde que comprovada a excepcionalidade da ocorrência, resultante exclusivamente de fatores imprevisíveis e alheios ao controle do prestador. </w:t>
      </w:r>
    </w:p>
    <w:p w14:paraId="5FCBD8DB" w14:textId="77777777" w:rsidR="00CA1712" w:rsidRPr="00280D0B" w:rsidRDefault="00CA1712" w:rsidP="0062028E">
      <w:pPr>
        <w:pStyle w:val="Default"/>
        <w:numPr>
          <w:ilvl w:val="1"/>
          <w:numId w:val="2"/>
        </w:numPr>
        <w:spacing w:after="136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Todas as ocorrências apontadas pela fiscalização serão encaminhadas, via correspondência eletrônica, à empresa contratada. </w:t>
      </w:r>
    </w:p>
    <w:p w14:paraId="2A4B44D1" w14:textId="77777777" w:rsidR="00CA1712" w:rsidRPr="00280D0B" w:rsidRDefault="00CA1712" w:rsidP="0062028E">
      <w:pPr>
        <w:pStyle w:val="Default"/>
        <w:numPr>
          <w:ilvl w:val="1"/>
          <w:numId w:val="2"/>
        </w:numPr>
        <w:spacing w:after="136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O prazo de manifestação da Contratada perante as ocorrências informadas é de 5 (cinco) dias úteis. </w:t>
      </w:r>
    </w:p>
    <w:p w14:paraId="249BD80D" w14:textId="77777777" w:rsidR="008B0FE1" w:rsidRDefault="00CA1712" w:rsidP="0062028E">
      <w:pPr>
        <w:pStyle w:val="Default"/>
        <w:numPr>
          <w:ilvl w:val="1"/>
          <w:numId w:val="2"/>
        </w:numPr>
        <w:spacing w:after="136"/>
        <w:jc w:val="both"/>
        <w:rPr>
          <w:sz w:val="20"/>
          <w:szCs w:val="20"/>
        </w:rPr>
      </w:pPr>
      <w:r w:rsidRPr="00280D0B">
        <w:rPr>
          <w:sz w:val="20"/>
          <w:szCs w:val="20"/>
        </w:rPr>
        <w:t>A empresa emitirá a nota fiscal com valor que esteja em conformidade com o Termo Circunstanciado emitido pela gestão do contrato, qu</w:t>
      </w:r>
      <w:r w:rsidR="00E6092C">
        <w:rPr>
          <w:sz w:val="20"/>
          <w:szCs w:val="20"/>
        </w:rPr>
        <w:t>e terá como anexo o IMR mensal.</w:t>
      </w:r>
    </w:p>
    <w:p w14:paraId="09BC2133" w14:textId="77777777" w:rsidR="006D09EF" w:rsidRDefault="006D09EF" w:rsidP="0062028E">
      <w:pPr>
        <w:pStyle w:val="Default"/>
        <w:spacing w:after="136"/>
        <w:ind w:left="405"/>
        <w:jc w:val="both"/>
        <w:rPr>
          <w:sz w:val="20"/>
          <w:szCs w:val="20"/>
        </w:rPr>
      </w:pPr>
    </w:p>
    <w:p w14:paraId="11525708" w14:textId="77777777" w:rsidR="00E6092C" w:rsidRDefault="00E6092C" w:rsidP="0062028E">
      <w:pPr>
        <w:pStyle w:val="Default"/>
        <w:numPr>
          <w:ilvl w:val="0"/>
          <w:numId w:val="2"/>
        </w:numPr>
        <w:spacing w:after="136"/>
        <w:jc w:val="both"/>
        <w:rPr>
          <w:b/>
          <w:sz w:val="20"/>
          <w:szCs w:val="20"/>
        </w:rPr>
      </w:pPr>
      <w:r w:rsidRPr="00E6092C">
        <w:rPr>
          <w:b/>
          <w:sz w:val="20"/>
          <w:szCs w:val="20"/>
        </w:rPr>
        <w:t>DESCRIÇÃO DAS OCORRÊNCIAS AVALIADAS</w:t>
      </w:r>
    </w:p>
    <w:p w14:paraId="1EE1758C" w14:textId="77777777" w:rsidR="00E6092C" w:rsidRPr="00E6092C" w:rsidRDefault="00E6092C" w:rsidP="0062028E">
      <w:pPr>
        <w:pStyle w:val="Default"/>
        <w:spacing w:after="136"/>
        <w:ind w:left="405"/>
        <w:jc w:val="both"/>
        <w:rPr>
          <w:b/>
          <w:sz w:val="20"/>
          <w:szCs w:val="20"/>
        </w:rPr>
      </w:pPr>
    </w:p>
    <w:p w14:paraId="4A6732B5" w14:textId="235F2FC0" w:rsidR="00CA1712" w:rsidRPr="00280D0B" w:rsidRDefault="00CA1712" w:rsidP="0062028E">
      <w:pPr>
        <w:pStyle w:val="Default"/>
        <w:numPr>
          <w:ilvl w:val="1"/>
          <w:numId w:val="2"/>
        </w:numPr>
        <w:spacing w:after="136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O valor mensal será definido com base nas ocorrências verificados durante o mês, se ocorrerem, na quantidade de </w:t>
      </w:r>
      <w:r w:rsidR="00337E89">
        <w:rPr>
          <w:sz w:val="20"/>
          <w:szCs w:val="20"/>
        </w:rPr>
        <w:t>manutenções preventivas e corretivas realizadas.</w:t>
      </w:r>
      <w:r w:rsidRPr="00280D0B">
        <w:rPr>
          <w:sz w:val="20"/>
          <w:szCs w:val="20"/>
        </w:rPr>
        <w:t xml:space="preserve"> </w:t>
      </w:r>
    </w:p>
    <w:p w14:paraId="74112217" w14:textId="77777777" w:rsidR="00CA1712" w:rsidRPr="00280D0B" w:rsidRDefault="00CA1712" w:rsidP="0062028E">
      <w:pPr>
        <w:pStyle w:val="Default"/>
        <w:numPr>
          <w:ilvl w:val="1"/>
          <w:numId w:val="2"/>
        </w:numPr>
        <w:jc w:val="both"/>
        <w:rPr>
          <w:sz w:val="20"/>
          <w:szCs w:val="20"/>
        </w:rPr>
      </w:pPr>
      <w:r w:rsidRPr="00280D0B">
        <w:rPr>
          <w:sz w:val="20"/>
          <w:szCs w:val="20"/>
        </w:rPr>
        <w:lastRenderedPageBreak/>
        <w:t>O redimensionamento do valor será calculado a partir das ocorrências rel</w:t>
      </w:r>
      <w:r w:rsidR="008B0FE1" w:rsidRPr="00280D0B">
        <w:rPr>
          <w:sz w:val="20"/>
          <w:szCs w:val="20"/>
        </w:rPr>
        <w:t>acionadas nas tabelas a seguir:</w:t>
      </w:r>
    </w:p>
    <w:p w14:paraId="32A92942" w14:textId="77777777" w:rsidR="00E6092C" w:rsidRPr="00280D0B" w:rsidRDefault="00E6092C" w:rsidP="00502A75">
      <w:pPr>
        <w:pStyle w:val="Default"/>
        <w:ind w:left="1416" w:firstLine="708"/>
        <w:rPr>
          <w:sz w:val="20"/>
          <w:szCs w:val="20"/>
        </w:rPr>
      </w:pPr>
    </w:p>
    <w:tbl>
      <w:tblPr>
        <w:tblStyle w:val="Tabelacomgrade"/>
        <w:tblpPr w:leftFromText="141" w:rightFromText="141" w:vertAnchor="text" w:horzAnchor="margin" w:tblpY="951"/>
        <w:tblW w:w="8784" w:type="dxa"/>
        <w:tblLook w:val="04A0" w:firstRow="1" w:lastRow="0" w:firstColumn="1" w:lastColumn="0" w:noHBand="0" w:noVBand="1"/>
      </w:tblPr>
      <w:tblGrid>
        <w:gridCol w:w="606"/>
        <w:gridCol w:w="3010"/>
        <w:gridCol w:w="1624"/>
        <w:gridCol w:w="1843"/>
        <w:gridCol w:w="1701"/>
      </w:tblGrid>
      <w:tr w:rsidR="008B0FE1" w:rsidRPr="00280D0B" w14:paraId="0F48EF01" w14:textId="77777777" w:rsidTr="009568CB">
        <w:tc>
          <w:tcPr>
            <w:tcW w:w="8784" w:type="dxa"/>
            <w:gridSpan w:val="5"/>
          </w:tcPr>
          <w:p w14:paraId="1EA08632" w14:textId="77777777" w:rsidR="008B0FE1" w:rsidRPr="00280D0B" w:rsidRDefault="008B0FE1" w:rsidP="00502A75">
            <w:pPr>
              <w:pStyle w:val="Default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RELAÇÃO DE OCORRÊNCIAS</w:t>
            </w:r>
          </w:p>
        </w:tc>
      </w:tr>
      <w:tr w:rsidR="008B0FE1" w:rsidRPr="00280D0B" w14:paraId="57C86B8B" w14:textId="77777777" w:rsidTr="009568CB">
        <w:tc>
          <w:tcPr>
            <w:tcW w:w="606" w:type="dxa"/>
            <w:vAlign w:val="center"/>
          </w:tcPr>
          <w:p w14:paraId="7C05ADBC" w14:textId="77777777" w:rsidR="008B0FE1" w:rsidRPr="00280D0B" w:rsidRDefault="008B0FE1" w:rsidP="009568CB">
            <w:pPr>
              <w:pStyle w:val="Default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Tipo</w:t>
            </w:r>
          </w:p>
        </w:tc>
        <w:tc>
          <w:tcPr>
            <w:tcW w:w="3010" w:type="dxa"/>
            <w:vAlign w:val="center"/>
          </w:tcPr>
          <w:p w14:paraId="00E7043B" w14:textId="77777777" w:rsidR="008B0FE1" w:rsidRPr="00280D0B" w:rsidRDefault="008B0FE1" w:rsidP="009568CB">
            <w:pPr>
              <w:pStyle w:val="Default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Ocorrência</w:t>
            </w:r>
          </w:p>
        </w:tc>
        <w:tc>
          <w:tcPr>
            <w:tcW w:w="1624" w:type="dxa"/>
            <w:vAlign w:val="center"/>
          </w:tcPr>
          <w:p w14:paraId="3999F385" w14:textId="77777777" w:rsidR="008B0FE1" w:rsidRPr="00280D0B" w:rsidRDefault="008B0FE1" w:rsidP="009568CB">
            <w:pPr>
              <w:pStyle w:val="Default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Aferição</w:t>
            </w:r>
          </w:p>
        </w:tc>
        <w:tc>
          <w:tcPr>
            <w:tcW w:w="1843" w:type="dxa"/>
            <w:vAlign w:val="center"/>
          </w:tcPr>
          <w:p w14:paraId="622015F9" w14:textId="77777777" w:rsidR="008B0FE1" w:rsidRPr="00280D0B" w:rsidRDefault="008B0FE1" w:rsidP="009568CB">
            <w:pPr>
              <w:pStyle w:val="Default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Quantidade de Ocorrências</w:t>
            </w:r>
          </w:p>
        </w:tc>
        <w:tc>
          <w:tcPr>
            <w:tcW w:w="1701" w:type="dxa"/>
            <w:vAlign w:val="center"/>
          </w:tcPr>
          <w:p w14:paraId="03F7E2E7" w14:textId="77777777" w:rsidR="008B0FE1" w:rsidRPr="00280D0B" w:rsidRDefault="008B0FE1" w:rsidP="009568CB">
            <w:pPr>
              <w:pStyle w:val="Default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Observações da Fiscalização</w:t>
            </w:r>
          </w:p>
        </w:tc>
      </w:tr>
      <w:tr w:rsidR="008B0FE1" w:rsidRPr="00280D0B" w14:paraId="5C248189" w14:textId="77777777" w:rsidTr="008E784D">
        <w:tc>
          <w:tcPr>
            <w:tcW w:w="606" w:type="dxa"/>
            <w:vAlign w:val="center"/>
          </w:tcPr>
          <w:p w14:paraId="2F6243F5" w14:textId="77777777" w:rsidR="008B0FE1" w:rsidRPr="00280D0B" w:rsidRDefault="00502A75" w:rsidP="008E784D">
            <w:pPr>
              <w:pStyle w:val="Default"/>
              <w:spacing w:before="60" w:after="60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1</w:t>
            </w:r>
          </w:p>
        </w:tc>
        <w:tc>
          <w:tcPr>
            <w:tcW w:w="3010" w:type="dxa"/>
          </w:tcPr>
          <w:p w14:paraId="67D5DCFA" w14:textId="7FA05A2B" w:rsidR="008B0FE1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 xml:space="preserve">Deixar de atender por meio da rede credenciada aos requisitos da contratação definidos </w:t>
            </w:r>
            <w:r w:rsidR="00E6092C">
              <w:rPr>
                <w:sz w:val="20"/>
                <w:szCs w:val="20"/>
              </w:rPr>
              <w:t>n</w:t>
            </w:r>
            <w:r w:rsidRPr="00280D0B">
              <w:rPr>
                <w:sz w:val="20"/>
                <w:szCs w:val="20"/>
              </w:rPr>
              <w:t>o Termo de Referência.</w:t>
            </w:r>
            <w:r w:rsidR="00E6092C">
              <w:rPr>
                <w:sz w:val="20"/>
                <w:szCs w:val="20"/>
              </w:rPr>
              <w:t xml:space="preserve"> Especialmente no tocante à quantidade </w:t>
            </w:r>
            <w:r w:rsidR="00337E89">
              <w:rPr>
                <w:sz w:val="20"/>
                <w:szCs w:val="20"/>
              </w:rPr>
              <w:t>oficinas credenciadas</w:t>
            </w:r>
            <w:r w:rsidR="00E6092C">
              <w:rPr>
                <w:sz w:val="20"/>
                <w:szCs w:val="20"/>
              </w:rPr>
              <w:t xml:space="preserve"> por localidade e também nas </w:t>
            </w:r>
            <w:r w:rsidR="00337E89">
              <w:rPr>
                <w:sz w:val="20"/>
                <w:szCs w:val="20"/>
              </w:rPr>
              <w:t xml:space="preserve">proximidades das </w:t>
            </w:r>
            <w:r w:rsidR="00E6092C">
              <w:rPr>
                <w:sz w:val="20"/>
                <w:szCs w:val="20"/>
              </w:rPr>
              <w:t>rodovias estaduais e federais no Estado de Minas Gerais</w:t>
            </w:r>
          </w:p>
        </w:tc>
        <w:tc>
          <w:tcPr>
            <w:tcW w:w="1624" w:type="dxa"/>
          </w:tcPr>
          <w:p w14:paraId="128B4DE5" w14:textId="77777777" w:rsidR="008B0FE1" w:rsidRPr="00280D0B" w:rsidRDefault="008B0FE1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Condicionado à verificação pelo fiscal ou gestor do contrato.</w:t>
            </w:r>
          </w:p>
        </w:tc>
        <w:tc>
          <w:tcPr>
            <w:tcW w:w="1843" w:type="dxa"/>
          </w:tcPr>
          <w:p w14:paraId="05381353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34A156B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</w:tr>
      <w:tr w:rsidR="008B0FE1" w:rsidRPr="00280D0B" w14:paraId="28F6BD77" w14:textId="77777777" w:rsidTr="008E784D">
        <w:tc>
          <w:tcPr>
            <w:tcW w:w="606" w:type="dxa"/>
            <w:vAlign w:val="center"/>
          </w:tcPr>
          <w:p w14:paraId="2CA9AAA9" w14:textId="77777777" w:rsidR="00502A75" w:rsidRPr="00280D0B" w:rsidRDefault="00502A75" w:rsidP="008E784D">
            <w:pPr>
              <w:pStyle w:val="Default"/>
              <w:spacing w:before="60" w:after="60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1</w:t>
            </w:r>
          </w:p>
        </w:tc>
        <w:tc>
          <w:tcPr>
            <w:tcW w:w="3010" w:type="dxa"/>
          </w:tcPr>
          <w:p w14:paraId="48E26A6E" w14:textId="3008D834" w:rsidR="00502A75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Permitir e repassar preços superiores aos máximos previstos na</w:t>
            </w:r>
            <w:r w:rsidR="00337E89">
              <w:rPr>
                <w:sz w:val="20"/>
                <w:szCs w:val="20"/>
              </w:rPr>
              <w:t>s</w:t>
            </w:r>
            <w:r w:rsidRPr="00280D0B">
              <w:rPr>
                <w:sz w:val="20"/>
                <w:szCs w:val="20"/>
              </w:rPr>
              <w:t xml:space="preserve"> </w:t>
            </w:r>
            <w:r w:rsidR="00337E89">
              <w:rPr>
                <w:sz w:val="20"/>
                <w:szCs w:val="20"/>
              </w:rPr>
              <w:t>tabelas de referências de peças automotivas e tempo de serviço (mão de obra).</w:t>
            </w:r>
          </w:p>
        </w:tc>
        <w:tc>
          <w:tcPr>
            <w:tcW w:w="1624" w:type="dxa"/>
          </w:tcPr>
          <w:p w14:paraId="3119DEC5" w14:textId="77777777" w:rsidR="008B0FE1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Condicionado à verificação pelo fiscal ou gestor do contrato.</w:t>
            </w:r>
          </w:p>
        </w:tc>
        <w:tc>
          <w:tcPr>
            <w:tcW w:w="1843" w:type="dxa"/>
          </w:tcPr>
          <w:p w14:paraId="4883F91E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9F8CDAB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</w:tr>
      <w:tr w:rsidR="008B0FE1" w:rsidRPr="00280D0B" w14:paraId="3AFEBB6D" w14:textId="77777777" w:rsidTr="008E784D">
        <w:tc>
          <w:tcPr>
            <w:tcW w:w="606" w:type="dxa"/>
            <w:vAlign w:val="center"/>
          </w:tcPr>
          <w:p w14:paraId="26BA79A2" w14:textId="77777777" w:rsidR="00502A75" w:rsidRPr="00280D0B" w:rsidRDefault="00502A75" w:rsidP="008E784D">
            <w:pPr>
              <w:pStyle w:val="Default"/>
              <w:spacing w:before="60" w:after="60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2</w:t>
            </w:r>
          </w:p>
        </w:tc>
        <w:tc>
          <w:tcPr>
            <w:tcW w:w="3010" w:type="dxa"/>
          </w:tcPr>
          <w:p w14:paraId="5064EF8C" w14:textId="5292DCAF" w:rsidR="00502A75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Atender às solicitações da contratante com atraso e após os prazos definidos na contratação.</w:t>
            </w:r>
          </w:p>
        </w:tc>
        <w:tc>
          <w:tcPr>
            <w:tcW w:w="1624" w:type="dxa"/>
          </w:tcPr>
          <w:p w14:paraId="4B46B3FC" w14:textId="77777777" w:rsidR="008B0FE1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Condicionado à verificação pelo fiscal ou gestor do contrato.</w:t>
            </w:r>
          </w:p>
        </w:tc>
        <w:tc>
          <w:tcPr>
            <w:tcW w:w="1843" w:type="dxa"/>
          </w:tcPr>
          <w:p w14:paraId="7273BA7D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CC6357C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</w:tr>
      <w:tr w:rsidR="008B0FE1" w:rsidRPr="00280D0B" w14:paraId="4B22FFBA" w14:textId="77777777" w:rsidTr="008E784D">
        <w:tc>
          <w:tcPr>
            <w:tcW w:w="606" w:type="dxa"/>
            <w:vAlign w:val="center"/>
          </w:tcPr>
          <w:p w14:paraId="0E914243" w14:textId="77777777" w:rsidR="00502A75" w:rsidRPr="00280D0B" w:rsidRDefault="00502A75" w:rsidP="008E784D">
            <w:pPr>
              <w:pStyle w:val="Default"/>
              <w:spacing w:before="60" w:after="60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2</w:t>
            </w:r>
          </w:p>
        </w:tc>
        <w:tc>
          <w:tcPr>
            <w:tcW w:w="3010" w:type="dxa"/>
          </w:tcPr>
          <w:p w14:paraId="411DBDC0" w14:textId="043A7B25" w:rsidR="008B0FE1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 xml:space="preserve">O preposto da contratada deixar de apresentar, injustificadamente, resposta para os questionamentos e demandas da contratante </w:t>
            </w:r>
          </w:p>
        </w:tc>
        <w:tc>
          <w:tcPr>
            <w:tcW w:w="1624" w:type="dxa"/>
          </w:tcPr>
          <w:p w14:paraId="2D053D34" w14:textId="77777777" w:rsidR="008B0FE1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Condicionado à verificação pelo fiscal ou gestor do contrato</w:t>
            </w:r>
          </w:p>
        </w:tc>
        <w:tc>
          <w:tcPr>
            <w:tcW w:w="1843" w:type="dxa"/>
          </w:tcPr>
          <w:p w14:paraId="3D09AE2F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76C270D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</w:tr>
      <w:tr w:rsidR="008B0FE1" w:rsidRPr="00280D0B" w14:paraId="2902B4C9" w14:textId="77777777" w:rsidTr="008E784D">
        <w:tc>
          <w:tcPr>
            <w:tcW w:w="606" w:type="dxa"/>
            <w:vAlign w:val="center"/>
          </w:tcPr>
          <w:p w14:paraId="31080625" w14:textId="77777777" w:rsidR="00502A75" w:rsidRPr="00280D0B" w:rsidRDefault="00502A75" w:rsidP="008E784D">
            <w:pPr>
              <w:pStyle w:val="Default"/>
              <w:spacing w:before="60" w:after="60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3</w:t>
            </w:r>
          </w:p>
        </w:tc>
        <w:tc>
          <w:tcPr>
            <w:tcW w:w="3010" w:type="dxa"/>
          </w:tcPr>
          <w:p w14:paraId="1087CDF4" w14:textId="740CC34B" w:rsidR="008B0FE1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 xml:space="preserve">Deixar de apresentar ou apresentar com atraso a documentação suporte para fiscalização dos serviços e pagamento mensal das despesas. Assim como, não fornecer a planilha contendo o CNPJ, email e endereço de cada </w:t>
            </w:r>
            <w:r w:rsidR="00337E89">
              <w:rPr>
                <w:sz w:val="20"/>
                <w:szCs w:val="20"/>
              </w:rPr>
              <w:t xml:space="preserve">Oficina ou estabelecimento </w:t>
            </w:r>
            <w:r w:rsidRPr="00280D0B">
              <w:rPr>
                <w:sz w:val="20"/>
                <w:szCs w:val="20"/>
              </w:rPr>
              <w:t xml:space="preserve">o onde ocorreu </w:t>
            </w:r>
            <w:r w:rsidR="00337E89">
              <w:rPr>
                <w:sz w:val="20"/>
                <w:szCs w:val="20"/>
              </w:rPr>
              <w:t>a manutenção</w:t>
            </w:r>
            <w:r w:rsidRPr="00280D0B">
              <w:rPr>
                <w:sz w:val="20"/>
                <w:szCs w:val="20"/>
              </w:rPr>
              <w:t xml:space="preserve"> naquele período de referência.</w:t>
            </w:r>
          </w:p>
        </w:tc>
        <w:tc>
          <w:tcPr>
            <w:tcW w:w="1624" w:type="dxa"/>
          </w:tcPr>
          <w:p w14:paraId="44F4C5CF" w14:textId="77777777" w:rsidR="008B0FE1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Condicionado à verificação pelo fiscal ou gestor do contrato</w:t>
            </w:r>
          </w:p>
        </w:tc>
        <w:tc>
          <w:tcPr>
            <w:tcW w:w="1843" w:type="dxa"/>
          </w:tcPr>
          <w:p w14:paraId="7D556A91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0E62ABF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</w:tr>
      <w:tr w:rsidR="008B0FE1" w:rsidRPr="00280D0B" w14:paraId="3EF68D60" w14:textId="77777777" w:rsidTr="008E784D">
        <w:tc>
          <w:tcPr>
            <w:tcW w:w="606" w:type="dxa"/>
            <w:vAlign w:val="center"/>
          </w:tcPr>
          <w:p w14:paraId="32AB424C" w14:textId="77777777" w:rsidR="00502A75" w:rsidRPr="00280D0B" w:rsidRDefault="00502A75" w:rsidP="008E784D">
            <w:pPr>
              <w:pStyle w:val="Default"/>
              <w:spacing w:before="60" w:after="60"/>
              <w:jc w:val="center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>3</w:t>
            </w:r>
          </w:p>
        </w:tc>
        <w:tc>
          <w:tcPr>
            <w:tcW w:w="3010" w:type="dxa"/>
          </w:tcPr>
          <w:p w14:paraId="7F7367BE" w14:textId="4349B7AB" w:rsidR="008B0FE1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 xml:space="preserve">Não enviar, no prazo definido em contrato, novos cartões de </w:t>
            </w:r>
            <w:r w:rsidR="00337E89">
              <w:rPr>
                <w:sz w:val="20"/>
                <w:szCs w:val="20"/>
              </w:rPr>
              <w:t>manutenção</w:t>
            </w:r>
            <w:r w:rsidRPr="00280D0B">
              <w:rPr>
                <w:sz w:val="20"/>
                <w:szCs w:val="20"/>
              </w:rPr>
              <w:t xml:space="preserve"> e senha de usuários (se for o caso). </w:t>
            </w:r>
          </w:p>
        </w:tc>
        <w:tc>
          <w:tcPr>
            <w:tcW w:w="1624" w:type="dxa"/>
          </w:tcPr>
          <w:p w14:paraId="3EAC57DA" w14:textId="0F422E62" w:rsidR="008B0FE1" w:rsidRPr="00280D0B" w:rsidRDefault="00502A75" w:rsidP="005E06F0">
            <w:pPr>
              <w:pStyle w:val="Default"/>
              <w:spacing w:before="60" w:after="60"/>
              <w:jc w:val="both"/>
              <w:rPr>
                <w:sz w:val="20"/>
                <w:szCs w:val="20"/>
              </w:rPr>
            </w:pPr>
            <w:r w:rsidRPr="00280D0B">
              <w:rPr>
                <w:sz w:val="20"/>
                <w:szCs w:val="20"/>
              </w:rPr>
              <w:t xml:space="preserve">Condicionado à verificação pelo fiscal ou gestor do contrato. </w:t>
            </w:r>
          </w:p>
        </w:tc>
        <w:tc>
          <w:tcPr>
            <w:tcW w:w="1843" w:type="dxa"/>
          </w:tcPr>
          <w:p w14:paraId="74B32128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70BE901" w14:textId="77777777" w:rsidR="008B0FE1" w:rsidRPr="00280D0B" w:rsidRDefault="008B0FE1" w:rsidP="005E06F0">
            <w:pPr>
              <w:pStyle w:val="Default"/>
              <w:spacing w:before="60" w:after="60"/>
              <w:rPr>
                <w:sz w:val="20"/>
                <w:szCs w:val="20"/>
              </w:rPr>
            </w:pPr>
          </w:p>
        </w:tc>
      </w:tr>
    </w:tbl>
    <w:p w14:paraId="28DD92D0" w14:textId="77777777" w:rsidR="00E6092C" w:rsidRDefault="00E6092C" w:rsidP="00E6092C">
      <w:pPr>
        <w:pStyle w:val="PargrafodaLista"/>
        <w:spacing w:before="120" w:after="120"/>
        <w:ind w:left="403"/>
        <w:contextualSpacing w:val="0"/>
        <w:rPr>
          <w:rFonts w:ascii="Arial" w:hAnsi="Arial" w:cs="Arial"/>
          <w:sz w:val="20"/>
          <w:szCs w:val="20"/>
        </w:rPr>
      </w:pPr>
    </w:p>
    <w:p w14:paraId="5755F9E5" w14:textId="77777777" w:rsidR="00280D0B" w:rsidRDefault="00CA1712" w:rsidP="0062028E">
      <w:pPr>
        <w:pStyle w:val="PargrafodaLista"/>
        <w:numPr>
          <w:ilvl w:val="1"/>
          <w:numId w:val="2"/>
        </w:numPr>
        <w:spacing w:before="120" w:after="120"/>
        <w:ind w:left="403" w:hanging="403"/>
        <w:contextualSpacing w:val="0"/>
        <w:jc w:val="both"/>
        <w:rPr>
          <w:rFonts w:ascii="Arial" w:hAnsi="Arial" w:cs="Arial"/>
          <w:sz w:val="20"/>
          <w:szCs w:val="20"/>
        </w:rPr>
      </w:pPr>
      <w:r w:rsidRPr="00280D0B">
        <w:rPr>
          <w:rFonts w:ascii="Arial" w:hAnsi="Arial" w:cs="Arial"/>
          <w:sz w:val="20"/>
          <w:szCs w:val="20"/>
        </w:rPr>
        <w:lastRenderedPageBreak/>
        <w:t>O fiscal ou gestor do contrato preencherá cada um dos itens de avaliação de ocorrências, totalizando as ocorrências do mês de referência, indicando sinteticamente o local, dia e o fato gerador na tabe</w:t>
      </w:r>
      <w:r w:rsidR="00280D0B">
        <w:rPr>
          <w:rFonts w:ascii="Arial" w:hAnsi="Arial" w:cs="Arial"/>
          <w:sz w:val="20"/>
          <w:szCs w:val="20"/>
        </w:rPr>
        <w:t>la existente em cada item.</w:t>
      </w:r>
    </w:p>
    <w:p w14:paraId="51ADF920" w14:textId="77777777" w:rsidR="00623937" w:rsidRDefault="00CA1712" w:rsidP="0062028E">
      <w:pPr>
        <w:pStyle w:val="PargrafodaLista"/>
        <w:numPr>
          <w:ilvl w:val="1"/>
          <w:numId w:val="2"/>
        </w:numPr>
        <w:spacing w:before="120" w:after="120"/>
        <w:ind w:left="403" w:hanging="403"/>
        <w:contextualSpacing w:val="0"/>
        <w:jc w:val="both"/>
        <w:rPr>
          <w:rFonts w:ascii="Arial" w:hAnsi="Arial" w:cs="Arial"/>
          <w:sz w:val="20"/>
          <w:szCs w:val="20"/>
        </w:rPr>
      </w:pPr>
      <w:r w:rsidRPr="00280D0B">
        <w:rPr>
          <w:rFonts w:ascii="Arial" w:hAnsi="Arial" w:cs="Arial"/>
          <w:sz w:val="20"/>
          <w:szCs w:val="20"/>
        </w:rPr>
        <w:t>Diante dos dados/ocorrências constantes na “Relação de Ocorrências”, a Contratante promoverá a tabulação dos dados, conforme Tabela de ocorrências e efeitos remuneratórios, de modo a identificar o percentual de aceitação dos serviços, que deverá ser aplicado ao preço contratual, conforme efeitos remuneratórios previstos a seguir.</w:t>
      </w:r>
    </w:p>
    <w:p w14:paraId="1A3B166C" w14:textId="77777777" w:rsidR="00623937" w:rsidRPr="00623937" w:rsidRDefault="00623937" w:rsidP="0062028E">
      <w:pPr>
        <w:pStyle w:val="PargrafodaLista"/>
        <w:jc w:val="both"/>
        <w:rPr>
          <w:rFonts w:ascii="Arial" w:hAnsi="Arial" w:cs="Arial"/>
          <w:sz w:val="20"/>
          <w:szCs w:val="20"/>
        </w:rPr>
      </w:pPr>
    </w:p>
    <w:p w14:paraId="67D7DFE2" w14:textId="77777777" w:rsidR="00280D0B" w:rsidRPr="00623937" w:rsidRDefault="00CA1712" w:rsidP="0062028E">
      <w:pPr>
        <w:pStyle w:val="PargrafodaLista"/>
        <w:numPr>
          <w:ilvl w:val="2"/>
          <w:numId w:val="2"/>
        </w:numPr>
        <w:spacing w:before="120" w:after="120"/>
        <w:ind w:left="993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623937">
        <w:rPr>
          <w:rFonts w:ascii="Arial" w:hAnsi="Arial" w:cs="Arial"/>
          <w:sz w:val="20"/>
          <w:szCs w:val="20"/>
        </w:rPr>
        <w:t>Tabela de ocorrências e efeitos remuneratórios (Fator de aceitação):</w:t>
      </w:r>
    </w:p>
    <w:tbl>
      <w:tblPr>
        <w:tblStyle w:val="Tabelacomgrade"/>
        <w:tblW w:w="0" w:type="auto"/>
        <w:tblInd w:w="816" w:type="dxa"/>
        <w:tblLook w:val="04A0" w:firstRow="1" w:lastRow="0" w:firstColumn="1" w:lastColumn="0" w:noHBand="0" w:noVBand="1"/>
      </w:tblPr>
      <w:tblGrid>
        <w:gridCol w:w="1607"/>
        <w:gridCol w:w="1518"/>
        <w:gridCol w:w="2023"/>
        <w:gridCol w:w="1677"/>
      </w:tblGrid>
      <w:tr w:rsidR="00623937" w14:paraId="5E8BC586" w14:textId="77777777" w:rsidTr="00623937">
        <w:tc>
          <w:tcPr>
            <w:tcW w:w="1607" w:type="dxa"/>
            <w:tcBorders>
              <w:left w:val="single" w:sz="4" w:space="0" w:color="auto"/>
            </w:tcBorders>
          </w:tcPr>
          <w:p w14:paraId="5FB4D936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de Ocorrências (A)</w:t>
            </w:r>
          </w:p>
        </w:tc>
        <w:tc>
          <w:tcPr>
            <w:tcW w:w="1518" w:type="dxa"/>
          </w:tcPr>
          <w:p w14:paraId="37FDCCFA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 da Ocorrência</w:t>
            </w:r>
          </w:p>
        </w:tc>
        <w:tc>
          <w:tcPr>
            <w:tcW w:w="2023" w:type="dxa"/>
          </w:tcPr>
          <w:p w14:paraId="1EAD5CED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Fator multiplicador por tipo da Ocorrência (B)</w:t>
            </w:r>
          </w:p>
        </w:tc>
        <w:tc>
          <w:tcPr>
            <w:tcW w:w="1677" w:type="dxa"/>
          </w:tcPr>
          <w:p w14:paraId="7BD2BC39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Fator de Aceitação (AxB)</w:t>
            </w:r>
          </w:p>
        </w:tc>
      </w:tr>
      <w:tr w:rsidR="00623937" w14:paraId="3BF73BC9" w14:textId="77777777" w:rsidTr="00623937">
        <w:tc>
          <w:tcPr>
            <w:tcW w:w="1607" w:type="dxa"/>
            <w:tcBorders>
              <w:left w:val="single" w:sz="4" w:space="0" w:color="auto"/>
            </w:tcBorders>
          </w:tcPr>
          <w:p w14:paraId="33259865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</w:tcPr>
          <w:p w14:paraId="4454380D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23" w:type="dxa"/>
          </w:tcPr>
          <w:p w14:paraId="6DF730FF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677" w:type="dxa"/>
          </w:tcPr>
          <w:p w14:paraId="3F1FA484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937" w14:paraId="27A8BE75" w14:textId="77777777" w:rsidTr="00623937">
        <w:tc>
          <w:tcPr>
            <w:tcW w:w="1607" w:type="dxa"/>
            <w:tcBorders>
              <w:left w:val="single" w:sz="4" w:space="0" w:color="auto"/>
            </w:tcBorders>
          </w:tcPr>
          <w:p w14:paraId="16BD7413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</w:tcPr>
          <w:p w14:paraId="7D1ABF83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23" w:type="dxa"/>
          </w:tcPr>
          <w:p w14:paraId="0631F0CA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77" w:type="dxa"/>
          </w:tcPr>
          <w:p w14:paraId="44EF33F3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937" w14:paraId="6AAEBC75" w14:textId="77777777" w:rsidTr="00623937">
        <w:tc>
          <w:tcPr>
            <w:tcW w:w="1607" w:type="dxa"/>
            <w:tcBorders>
              <w:left w:val="single" w:sz="4" w:space="0" w:color="auto"/>
            </w:tcBorders>
          </w:tcPr>
          <w:p w14:paraId="0F9F456E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</w:tcPr>
          <w:p w14:paraId="6C3745E7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23" w:type="dxa"/>
          </w:tcPr>
          <w:p w14:paraId="1F81B0EC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77" w:type="dxa"/>
          </w:tcPr>
          <w:p w14:paraId="4D6D06E7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3937" w14:paraId="7B4EF5D3" w14:textId="77777777" w:rsidTr="009214D4">
        <w:tc>
          <w:tcPr>
            <w:tcW w:w="5148" w:type="dxa"/>
            <w:gridSpan w:val="3"/>
          </w:tcPr>
          <w:p w14:paraId="4C80CDF6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SOMATÓRIO FATOR DE ACEITAÇÃO</w:t>
            </w:r>
          </w:p>
        </w:tc>
        <w:tc>
          <w:tcPr>
            <w:tcW w:w="1677" w:type="dxa"/>
          </w:tcPr>
          <w:p w14:paraId="046A4112" w14:textId="77777777" w:rsidR="00623937" w:rsidRDefault="00623937" w:rsidP="006239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3998E3" w14:textId="77777777" w:rsidR="00623937" w:rsidRDefault="00623937" w:rsidP="00CA1712">
      <w:pPr>
        <w:pStyle w:val="Default"/>
        <w:rPr>
          <w:color w:val="auto"/>
          <w:sz w:val="20"/>
          <w:szCs w:val="20"/>
        </w:rPr>
      </w:pPr>
    </w:p>
    <w:p w14:paraId="7FAB1267" w14:textId="77777777" w:rsidR="00CA1712" w:rsidRDefault="00CA1712" w:rsidP="0062028E">
      <w:pPr>
        <w:pStyle w:val="Default"/>
        <w:numPr>
          <w:ilvl w:val="2"/>
          <w:numId w:val="2"/>
        </w:numPr>
        <w:ind w:left="993" w:hanging="567"/>
        <w:jc w:val="both"/>
        <w:rPr>
          <w:sz w:val="20"/>
          <w:szCs w:val="20"/>
        </w:rPr>
      </w:pPr>
      <w:r w:rsidRPr="00280D0B">
        <w:rPr>
          <w:sz w:val="20"/>
          <w:szCs w:val="20"/>
        </w:rPr>
        <w:t xml:space="preserve">Redimensionamento relativo aos serviços mensais: </w:t>
      </w:r>
    </w:p>
    <w:p w14:paraId="60EE06BB" w14:textId="77777777" w:rsidR="00623937" w:rsidRPr="00280D0B" w:rsidRDefault="00623937" w:rsidP="0062028E">
      <w:pPr>
        <w:pStyle w:val="Default"/>
        <w:ind w:left="993"/>
        <w:jc w:val="both"/>
        <w:rPr>
          <w:sz w:val="20"/>
          <w:szCs w:val="20"/>
        </w:rPr>
      </w:pPr>
    </w:p>
    <w:p w14:paraId="268523F4" w14:textId="77777777" w:rsidR="00CA1712" w:rsidRPr="00280D0B" w:rsidRDefault="00CA1712" w:rsidP="0062028E">
      <w:pPr>
        <w:pStyle w:val="Default"/>
        <w:ind w:left="993"/>
        <w:jc w:val="both"/>
        <w:rPr>
          <w:sz w:val="20"/>
          <w:szCs w:val="20"/>
        </w:rPr>
      </w:pPr>
      <w:r w:rsidRPr="00280D0B">
        <w:rPr>
          <w:sz w:val="20"/>
          <w:szCs w:val="20"/>
        </w:rPr>
        <w:t>Faixa 1 – Somatório Fator</w:t>
      </w:r>
      <w:r w:rsidR="00623937">
        <w:rPr>
          <w:sz w:val="20"/>
          <w:szCs w:val="20"/>
        </w:rPr>
        <w:t xml:space="preserve"> de aceitação menor ou igual a 2</w:t>
      </w:r>
      <w:r w:rsidRPr="00280D0B">
        <w:rPr>
          <w:sz w:val="20"/>
          <w:szCs w:val="20"/>
        </w:rPr>
        <w:t xml:space="preserve">0: Desconto de 0% na fatura. </w:t>
      </w:r>
    </w:p>
    <w:p w14:paraId="5CC11052" w14:textId="77777777" w:rsidR="00CA1712" w:rsidRPr="00280D0B" w:rsidRDefault="00CA1712" w:rsidP="0062028E">
      <w:pPr>
        <w:pStyle w:val="Default"/>
        <w:ind w:left="993"/>
        <w:jc w:val="both"/>
        <w:rPr>
          <w:sz w:val="20"/>
          <w:szCs w:val="20"/>
        </w:rPr>
      </w:pPr>
      <w:r w:rsidRPr="00280D0B">
        <w:rPr>
          <w:sz w:val="20"/>
          <w:szCs w:val="20"/>
        </w:rPr>
        <w:t>Faixa 2 – Somatório Fator de aceitação men</w:t>
      </w:r>
      <w:r w:rsidR="00623937">
        <w:rPr>
          <w:sz w:val="20"/>
          <w:szCs w:val="20"/>
        </w:rPr>
        <w:t>or ou igual a 3</w:t>
      </w:r>
      <w:r w:rsidRPr="00280D0B">
        <w:rPr>
          <w:sz w:val="20"/>
          <w:szCs w:val="20"/>
        </w:rPr>
        <w:t xml:space="preserve">0: Desconto de </w:t>
      </w:r>
      <w:r w:rsidR="00623937">
        <w:rPr>
          <w:sz w:val="20"/>
          <w:szCs w:val="20"/>
        </w:rPr>
        <w:t>4% na fatura.</w:t>
      </w:r>
      <w:r w:rsidRPr="00280D0B">
        <w:rPr>
          <w:sz w:val="20"/>
          <w:szCs w:val="20"/>
        </w:rPr>
        <w:t xml:space="preserve"> </w:t>
      </w:r>
    </w:p>
    <w:p w14:paraId="759BFAF8" w14:textId="77777777" w:rsidR="00CA1712" w:rsidRPr="00280D0B" w:rsidRDefault="00623937" w:rsidP="0062028E">
      <w:pPr>
        <w:pStyle w:val="Default"/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Faixa 3</w:t>
      </w:r>
      <w:r w:rsidR="00CA1712" w:rsidRPr="00280D0B">
        <w:rPr>
          <w:sz w:val="20"/>
          <w:szCs w:val="20"/>
        </w:rPr>
        <w:t xml:space="preserve"> - Somatório Fator de aceitação menor ou igual a 40: Desconto de </w:t>
      </w:r>
      <w:r>
        <w:rPr>
          <w:sz w:val="20"/>
          <w:szCs w:val="20"/>
        </w:rPr>
        <w:t>6</w:t>
      </w:r>
      <w:r w:rsidR="00CA1712" w:rsidRPr="00280D0B">
        <w:rPr>
          <w:sz w:val="20"/>
          <w:szCs w:val="20"/>
        </w:rPr>
        <w:t xml:space="preserve">% na fatura. </w:t>
      </w:r>
    </w:p>
    <w:p w14:paraId="7BF7EC7C" w14:textId="77777777" w:rsidR="00CA1712" w:rsidRPr="00280D0B" w:rsidRDefault="00623937" w:rsidP="0062028E">
      <w:pPr>
        <w:pStyle w:val="Default"/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Faixa 4</w:t>
      </w:r>
      <w:r w:rsidR="00CA1712" w:rsidRPr="00280D0B">
        <w:rPr>
          <w:sz w:val="20"/>
          <w:szCs w:val="20"/>
        </w:rPr>
        <w:t xml:space="preserve"> - Somatório Fator de aceitação menor ou igual a 50: Desconto de </w:t>
      </w:r>
      <w:r>
        <w:rPr>
          <w:sz w:val="20"/>
          <w:szCs w:val="20"/>
        </w:rPr>
        <w:t>8</w:t>
      </w:r>
      <w:r w:rsidR="00CA1712" w:rsidRPr="00280D0B">
        <w:rPr>
          <w:sz w:val="20"/>
          <w:szCs w:val="20"/>
        </w:rPr>
        <w:t xml:space="preserve">% na fatura. </w:t>
      </w:r>
    </w:p>
    <w:p w14:paraId="71383C91" w14:textId="77777777" w:rsidR="00CA1712" w:rsidRPr="00280D0B" w:rsidRDefault="00623937" w:rsidP="0062028E">
      <w:pPr>
        <w:pStyle w:val="Default"/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Faixa 5</w:t>
      </w:r>
      <w:r w:rsidR="00CA1712" w:rsidRPr="00280D0B">
        <w:rPr>
          <w:sz w:val="20"/>
          <w:szCs w:val="20"/>
        </w:rPr>
        <w:t xml:space="preserve"> - Somatório Fator de aceitação maior que 60: Desconto de </w:t>
      </w:r>
      <w:r>
        <w:rPr>
          <w:sz w:val="20"/>
          <w:szCs w:val="20"/>
        </w:rPr>
        <w:t>10</w:t>
      </w:r>
      <w:r w:rsidR="00CA1712" w:rsidRPr="00280D0B">
        <w:rPr>
          <w:sz w:val="20"/>
          <w:szCs w:val="20"/>
        </w:rPr>
        <w:t xml:space="preserve">% na fatura. </w:t>
      </w:r>
    </w:p>
    <w:p w14:paraId="157879B2" w14:textId="77777777" w:rsidR="00CA1712" w:rsidRDefault="00CA1712" w:rsidP="00CA1712">
      <w:pPr>
        <w:rPr>
          <w:rFonts w:ascii="Arial" w:hAnsi="Arial" w:cs="Arial"/>
          <w:sz w:val="20"/>
          <w:szCs w:val="20"/>
        </w:rPr>
      </w:pPr>
    </w:p>
    <w:p w14:paraId="49E14E3F" w14:textId="77777777" w:rsidR="006D09EF" w:rsidRDefault="00E6092C" w:rsidP="0062028E">
      <w:pPr>
        <w:pStyle w:val="PargrafodaLista"/>
        <w:numPr>
          <w:ilvl w:val="1"/>
          <w:numId w:val="2"/>
        </w:numPr>
        <w:spacing w:before="12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6D09EF">
        <w:rPr>
          <w:rFonts w:ascii="Arial" w:hAnsi="Arial" w:cs="Arial"/>
          <w:sz w:val="20"/>
          <w:szCs w:val="20"/>
        </w:rPr>
        <w:t>Haverá possibilidade de rescisão contratual nas seguintes condições:</w:t>
      </w:r>
    </w:p>
    <w:p w14:paraId="6383A3A5" w14:textId="77777777" w:rsidR="006D09EF" w:rsidRDefault="00E6092C" w:rsidP="0062028E">
      <w:pPr>
        <w:pStyle w:val="PargrafodaLista"/>
        <w:numPr>
          <w:ilvl w:val="2"/>
          <w:numId w:val="2"/>
        </w:numPr>
        <w:spacing w:before="120" w:after="120"/>
        <w:ind w:left="993" w:hanging="578"/>
        <w:contextualSpacing w:val="0"/>
        <w:jc w:val="both"/>
        <w:rPr>
          <w:rFonts w:ascii="Arial" w:hAnsi="Arial" w:cs="Arial"/>
          <w:sz w:val="20"/>
          <w:szCs w:val="20"/>
        </w:rPr>
      </w:pPr>
      <w:r w:rsidRPr="006D09EF">
        <w:rPr>
          <w:rFonts w:ascii="Arial" w:hAnsi="Arial" w:cs="Arial"/>
          <w:sz w:val="20"/>
          <w:szCs w:val="20"/>
        </w:rPr>
        <w:t xml:space="preserve">Desconto de 10% por mais de seis vezes durante a vigência inicial do Contrato ou nos últimos 12 meses, se houver prorrogação; </w:t>
      </w:r>
    </w:p>
    <w:p w14:paraId="4C29EC33" w14:textId="77777777" w:rsidR="006D09EF" w:rsidRDefault="006D09EF" w:rsidP="0062028E">
      <w:pPr>
        <w:pStyle w:val="PargrafodaLista"/>
        <w:numPr>
          <w:ilvl w:val="2"/>
          <w:numId w:val="2"/>
        </w:numPr>
        <w:spacing w:before="120" w:after="120"/>
        <w:ind w:left="993" w:hanging="57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Fator de Aceitação superior a 180</w:t>
      </w:r>
      <w:r w:rsidR="00E6092C" w:rsidRPr="006D09EF">
        <w:rPr>
          <w:rFonts w:ascii="Arial" w:hAnsi="Arial" w:cs="Arial"/>
          <w:sz w:val="20"/>
          <w:szCs w:val="20"/>
        </w:rPr>
        <w:t>;</w:t>
      </w:r>
    </w:p>
    <w:p w14:paraId="7F5732A5" w14:textId="77777777" w:rsidR="006D09EF" w:rsidRPr="006D09EF" w:rsidRDefault="006D09EF" w:rsidP="0062028E">
      <w:pPr>
        <w:pStyle w:val="PargrafodaLista"/>
        <w:spacing w:before="120" w:after="120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F3EE724" w14:textId="77777777" w:rsidR="006D09EF" w:rsidRDefault="006D09EF" w:rsidP="0062028E">
      <w:pPr>
        <w:pStyle w:val="PargrafodaLista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D09EF">
        <w:rPr>
          <w:rFonts w:ascii="Arial" w:hAnsi="Arial" w:cs="Arial"/>
          <w:b/>
          <w:sz w:val="20"/>
          <w:szCs w:val="20"/>
        </w:rPr>
        <w:t>DISPOSIÇÕES FINAIS</w:t>
      </w:r>
    </w:p>
    <w:p w14:paraId="3B362C04" w14:textId="77777777" w:rsidR="006D09EF" w:rsidRDefault="006D09EF" w:rsidP="0062028E">
      <w:pPr>
        <w:pStyle w:val="PargrafodaLista"/>
        <w:spacing w:before="120" w:after="120"/>
        <w:ind w:left="405"/>
        <w:jc w:val="both"/>
        <w:rPr>
          <w:rFonts w:ascii="Arial" w:hAnsi="Arial" w:cs="Arial"/>
          <w:b/>
          <w:sz w:val="20"/>
          <w:szCs w:val="20"/>
        </w:rPr>
      </w:pPr>
    </w:p>
    <w:p w14:paraId="28436A6C" w14:textId="77777777" w:rsidR="006D09EF" w:rsidRDefault="006D09EF" w:rsidP="0062028E">
      <w:pPr>
        <w:pStyle w:val="PargrafodaLista"/>
        <w:spacing w:before="120" w:after="120"/>
        <w:ind w:left="405"/>
        <w:jc w:val="both"/>
        <w:rPr>
          <w:rFonts w:ascii="Arial" w:hAnsi="Arial" w:cs="Arial"/>
          <w:b/>
          <w:sz w:val="20"/>
          <w:szCs w:val="20"/>
        </w:rPr>
      </w:pPr>
    </w:p>
    <w:p w14:paraId="3D568A53" w14:textId="21B95106" w:rsidR="006D09EF" w:rsidRPr="006D09EF" w:rsidRDefault="006D09EF" w:rsidP="0062028E">
      <w:pPr>
        <w:pStyle w:val="PargrafodaLista"/>
        <w:numPr>
          <w:ilvl w:val="1"/>
          <w:numId w:val="2"/>
        </w:numPr>
        <w:spacing w:before="120" w:after="120"/>
        <w:ind w:left="403" w:hanging="403"/>
        <w:contextualSpacing w:val="0"/>
        <w:jc w:val="both"/>
        <w:rPr>
          <w:rFonts w:ascii="Arial" w:hAnsi="Arial" w:cs="Arial"/>
          <w:sz w:val="20"/>
          <w:szCs w:val="20"/>
        </w:rPr>
      </w:pPr>
      <w:r w:rsidRPr="006D09EF">
        <w:rPr>
          <w:rFonts w:ascii="Arial" w:hAnsi="Arial" w:cs="Arial"/>
          <w:sz w:val="20"/>
          <w:szCs w:val="20"/>
        </w:rPr>
        <w:t xml:space="preserve">Este instrumento define expectativas de serviços e responsabilidades entre Superintendência Regional de Administração do Ministério </w:t>
      </w:r>
      <w:r w:rsidR="00145B46">
        <w:rPr>
          <w:rFonts w:ascii="Arial" w:hAnsi="Arial" w:cs="Arial"/>
          <w:sz w:val="20"/>
          <w:szCs w:val="20"/>
        </w:rPr>
        <w:t>da Gestão e da Inovação em Serviços Públicos</w:t>
      </w:r>
      <w:r w:rsidRPr="006D09EF">
        <w:rPr>
          <w:rFonts w:ascii="Arial" w:hAnsi="Arial" w:cs="Arial"/>
          <w:sz w:val="20"/>
          <w:szCs w:val="20"/>
        </w:rPr>
        <w:t xml:space="preserve"> em Minas gerais e a </w:t>
      </w:r>
      <w:r w:rsidR="00E04282">
        <w:rPr>
          <w:rFonts w:ascii="Arial" w:hAnsi="Arial" w:cs="Arial"/>
          <w:sz w:val="20"/>
          <w:szCs w:val="20"/>
        </w:rPr>
        <w:t xml:space="preserve">Contratada </w:t>
      </w:r>
      <w:r w:rsidRPr="006D09EF">
        <w:rPr>
          <w:rFonts w:ascii="Arial" w:hAnsi="Arial" w:cs="Arial"/>
          <w:sz w:val="20"/>
          <w:szCs w:val="20"/>
        </w:rPr>
        <w:t>é parte integrante do contrato decorrente do Edital Pregão Eletrônico nº</w:t>
      </w:r>
      <w:r w:rsidR="00337E89">
        <w:rPr>
          <w:rFonts w:ascii="Arial" w:hAnsi="Arial" w:cs="Arial"/>
          <w:sz w:val="20"/>
          <w:szCs w:val="20"/>
        </w:rPr>
        <w:t xml:space="preserve"> 90002/2025</w:t>
      </w:r>
      <w:r w:rsidRPr="006D09EF">
        <w:rPr>
          <w:rFonts w:ascii="Arial" w:hAnsi="Arial" w:cs="Arial"/>
          <w:sz w:val="20"/>
          <w:szCs w:val="20"/>
        </w:rPr>
        <w:t xml:space="preserve">, celebrado para a prestação de serviços continuados </w:t>
      </w:r>
      <w:r>
        <w:rPr>
          <w:rFonts w:ascii="Arial" w:hAnsi="Arial" w:cs="Arial"/>
          <w:sz w:val="20"/>
          <w:szCs w:val="20"/>
        </w:rPr>
        <w:t xml:space="preserve">sem dedicação </w:t>
      </w:r>
      <w:r w:rsidR="00337E89">
        <w:rPr>
          <w:rFonts w:ascii="Arial" w:hAnsi="Arial" w:cs="Arial"/>
          <w:sz w:val="20"/>
          <w:szCs w:val="20"/>
        </w:rPr>
        <w:t xml:space="preserve">exclusiva </w:t>
      </w:r>
      <w:r>
        <w:rPr>
          <w:rFonts w:ascii="Arial" w:hAnsi="Arial" w:cs="Arial"/>
          <w:sz w:val="20"/>
          <w:szCs w:val="20"/>
        </w:rPr>
        <w:t>de mão de obra.</w:t>
      </w:r>
    </w:p>
    <w:p w14:paraId="3C056ADE" w14:textId="77777777" w:rsidR="006D09EF" w:rsidRPr="006D09EF" w:rsidRDefault="006D09EF" w:rsidP="0062028E">
      <w:pPr>
        <w:pStyle w:val="PargrafodaLista"/>
        <w:numPr>
          <w:ilvl w:val="1"/>
          <w:numId w:val="2"/>
        </w:numPr>
        <w:spacing w:before="120" w:after="120"/>
        <w:ind w:left="403" w:hanging="403"/>
        <w:contextualSpacing w:val="0"/>
        <w:jc w:val="both"/>
        <w:rPr>
          <w:rFonts w:ascii="Arial" w:hAnsi="Arial" w:cs="Arial"/>
          <w:sz w:val="20"/>
          <w:szCs w:val="20"/>
        </w:rPr>
      </w:pPr>
      <w:r w:rsidRPr="006D09EF">
        <w:rPr>
          <w:rFonts w:ascii="Arial" w:hAnsi="Arial" w:cs="Arial"/>
          <w:sz w:val="20"/>
          <w:szCs w:val="20"/>
        </w:rPr>
        <w:t>Além disso, o espírito deste instrumento é clarear e solidificar o pactuado entre as partes,</w:t>
      </w:r>
      <w:r>
        <w:rPr>
          <w:rFonts w:ascii="Arial" w:hAnsi="Arial" w:cs="Arial"/>
          <w:sz w:val="20"/>
          <w:szCs w:val="20"/>
        </w:rPr>
        <w:t xml:space="preserve"> </w:t>
      </w:r>
      <w:r w:rsidRPr="006D09EF">
        <w:rPr>
          <w:rFonts w:ascii="Arial" w:hAnsi="Arial" w:cs="Arial"/>
          <w:sz w:val="20"/>
          <w:szCs w:val="20"/>
        </w:rPr>
        <w:t>trabalhando juntos no provimento de serviços de qualidade e com eficiência visando garantias para o</w:t>
      </w:r>
      <w:r>
        <w:rPr>
          <w:rFonts w:ascii="Arial" w:hAnsi="Arial" w:cs="Arial"/>
          <w:sz w:val="20"/>
          <w:szCs w:val="20"/>
        </w:rPr>
        <w:t xml:space="preserve"> </w:t>
      </w:r>
      <w:r w:rsidRPr="006D09EF">
        <w:rPr>
          <w:rFonts w:ascii="Arial" w:hAnsi="Arial" w:cs="Arial"/>
          <w:sz w:val="20"/>
          <w:szCs w:val="20"/>
        </w:rPr>
        <w:t>interesse público.</w:t>
      </w:r>
    </w:p>
    <w:sectPr w:rsidR="006D09EF" w:rsidRPr="006D09EF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FD4C3" w14:textId="77777777" w:rsidR="00FA6115" w:rsidRDefault="00FA6115" w:rsidP="00145B46">
      <w:pPr>
        <w:spacing w:after="0" w:line="240" w:lineRule="auto"/>
      </w:pPr>
      <w:r>
        <w:separator/>
      </w:r>
    </w:p>
  </w:endnote>
  <w:endnote w:type="continuationSeparator" w:id="0">
    <w:p w14:paraId="168B6799" w14:textId="77777777" w:rsidR="00FA6115" w:rsidRDefault="00FA6115" w:rsidP="0014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6849DC" w14:textId="77777777" w:rsidR="00FA6115" w:rsidRDefault="00FA6115" w:rsidP="00145B46">
      <w:pPr>
        <w:spacing w:after="0" w:line="240" w:lineRule="auto"/>
      </w:pPr>
      <w:r>
        <w:separator/>
      </w:r>
    </w:p>
  </w:footnote>
  <w:footnote w:type="continuationSeparator" w:id="0">
    <w:p w14:paraId="16CC7D56" w14:textId="77777777" w:rsidR="00FA6115" w:rsidRDefault="00FA6115" w:rsidP="0014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9877" w:type="dxa"/>
      <w:tblCellSpacing w:w="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50"/>
      <w:gridCol w:w="18227"/>
    </w:tblGrid>
    <w:tr w:rsidR="00145B46" w:rsidRPr="00145B46" w14:paraId="48C70295" w14:textId="77777777" w:rsidTr="00145B46">
      <w:trPr>
        <w:tblCellSpacing w:w="0" w:type="dxa"/>
      </w:trPr>
      <w:tc>
        <w:tcPr>
          <w:tcW w:w="1650" w:type="dxa"/>
          <w:vAlign w:val="center"/>
          <w:hideMark/>
        </w:tcPr>
        <w:p w14:paraId="052C78EE" w14:textId="77777777" w:rsidR="00145B46" w:rsidRPr="00145B46" w:rsidRDefault="00145B46" w:rsidP="00145B46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lang w:eastAsia="pt-BR"/>
            </w:rPr>
          </w:pPr>
          <w:r w:rsidRPr="00145B46">
            <w:rPr>
              <w:noProof/>
              <w:lang w:eastAsia="pt-BR"/>
            </w:rPr>
            <w:drawing>
              <wp:inline distT="0" distB="0" distL="0" distR="0" wp14:anchorId="173E6A65" wp14:editId="5084752A">
                <wp:extent cx="800100" cy="800100"/>
                <wp:effectExtent l="0" t="0" r="0" b="0"/>
                <wp:docPr id="1" name="Imagem 1" descr="C:\Users\07454443699\AppData\Local\Microsoft\Windows\INetCache\Content.MSO\977A02C6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07454443699\AppData\Local\Microsoft\Windows\INetCache\Content.MSO\977A02C6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vAlign w:val="center"/>
          <w:hideMark/>
        </w:tcPr>
        <w:p w14:paraId="1627E54E" w14:textId="77777777" w:rsidR="00145B46" w:rsidRPr="00145B46" w:rsidRDefault="00145B46" w:rsidP="00145B46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pt-BR"/>
            </w:rPr>
          </w:pPr>
          <w:r w:rsidRPr="00145B46">
            <w:rPr>
              <w:rFonts w:ascii="Calibri" w:eastAsia="Times New Roman" w:hAnsi="Calibri" w:cs="Calibri"/>
              <w:color w:val="000000"/>
              <w:lang w:eastAsia="pt-BR"/>
            </w:rPr>
            <w:t>MINISTÉRIO DA GESTÃO E DA INOVAÇÃO EM SERVIÇOS PÚBLICOS</w:t>
          </w:r>
        </w:p>
        <w:p w14:paraId="1394A693" w14:textId="77777777" w:rsidR="00145B46" w:rsidRPr="00145B46" w:rsidRDefault="00145B46" w:rsidP="00145B46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pt-BR"/>
            </w:rPr>
          </w:pPr>
          <w:r w:rsidRPr="00145B46">
            <w:rPr>
              <w:rFonts w:ascii="Calibri" w:eastAsia="Times New Roman" w:hAnsi="Calibri" w:cs="Calibri"/>
              <w:color w:val="000000"/>
              <w:lang w:eastAsia="pt-BR"/>
            </w:rPr>
            <w:t>Secretaria de Serviços Compartilhados</w:t>
          </w:r>
          <w:r w:rsidRPr="00145B46">
            <w:rPr>
              <w:rFonts w:ascii="Calibri" w:eastAsia="Times New Roman" w:hAnsi="Calibri" w:cs="Calibri"/>
              <w:color w:val="000000"/>
              <w:lang w:eastAsia="pt-BR"/>
            </w:rPr>
            <w:br/>
            <w:t>Diretoria de Contratações e Unidades Descentralizadas</w:t>
          </w:r>
          <w:r w:rsidRPr="00145B46">
            <w:rPr>
              <w:rFonts w:ascii="Calibri" w:eastAsia="Times New Roman" w:hAnsi="Calibri" w:cs="Calibri"/>
              <w:color w:val="000000"/>
              <w:lang w:eastAsia="pt-BR"/>
            </w:rPr>
            <w:br/>
            <w:t>Superintendência Regional de Administração no Estado de Minas Gerais</w:t>
          </w:r>
          <w:r w:rsidRPr="00145B46">
            <w:rPr>
              <w:rFonts w:ascii="Calibri" w:eastAsia="Times New Roman" w:hAnsi="Calibri" w:cs="Calibri"/>
              <w:color w:val="000000"/>
              <w:lang w:eastAsia="pt-BR"/>
            </w:rPr>
            <w:br/>
            <w:t>Divisão de Administração e Logística</w:t>
          </w:r>
          <w:r w:rsidRPr="00145B46">
            <w:rPr>
              <w:rFonts w:ascii="Calibri" w:eastAsia="Times New Roman" w:hAnsi="Calibri" w:cs="Calibri"/>
              <w:color w:val="000000"/>
              <w:lang w:eastAsia="pt-BR"/>
            </w:rPr>
            <w:br/>
            <w:t>Serviço de Licitações e Contratos</w:t>
          </w:r>
        </w:p>
      </w:tc>
    </w:tr>
  </w:tbl>
  <w:p w14:paraId="15BAFC47" w14:textId="77777777" w:rsidR="00145B46" w:rsidRDefault="00145B4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85BCE"/>
    <w:multiLevelType w:val="multilevel"/>
    <w:tmpl w:val="D5A81C2C"/>
    <w:lvl w:ilvl="0">
      <w:start w:val="1"/>
      <w:numFmt w:val="decimal"/>
      <w:lvlText w:val="%1"/>
      <w:lvlJc w:val="left"/>
      <w:pPr>
        <w:ind w:left="405" w:hanging="405"/>
      </w:pPr>
      <w:rPr>
        <w:rFonts w:ascii="Verdana" w:hAnsi="Verdana" w:cs="Verdana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cs="Verdan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cs="Verdan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cs="Verdan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cs="Verdan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cs="Verdan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Verdana" w:hAnsi="Verdana" w:cs="Verdana" w:hint="default"/>
      </w:rPr>
    </w:lvl>
  </w:abstractNum>
  <w:abstractNum w:abstractNumId="1" w15:restartNumberingAfterBreak="0">
    <w:nsid w:val="12433F3A"/>
    <w:multiLevelType w:val="hybridMultilevel"/>
    <w:tmpl w:val="C4907B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834DB"/>
    <w:multiLevelType w:val="multilevel"/>
    <w:tmpl w:val="728AAB82"/>
    <w:lvl w:ilvl="0">
      <w:start w:val="1"/>
      <w:numFmt w:val="decimal"/>
      <w:lvlText w:val="%1"/>
      <w:lvlJc w:val="left"/>
      <w:pPr>
        <w:ind w:left="405" w:hanging="405"/>
      </w:pPr>
      <w:rPr>
        <w:rFonts w:ascii="Verdana" w:hAnsi="Verdana" w:cs="Verdana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ascii="Verdana" w:hAnsi="Verdana" w:cs="Verdan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cs="Verdan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cs="Verdan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cs="Verdan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cs="Verdan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cs="Verdan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cs="Verdan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Verdana" w:hAnsi="Verdana" w:cs="Verdana" w:hint="default"/>
      </w:rPr>
    </w:lvl>
  </w:abstractNum>
  <w:abstractNum w:abstractNumId="3" w15:restartNumberingAfterBreak="0">
    <w:nsid w:val="53175DD9"/>
    <w:multiLevelType w:val="hybridMultilevel"/>
    <w:tmpl w:val="1DE2B576"/>
    <w:lvl w:ilvl="0" w:tplc="0416000F">
      <w:start w:val="1"/>
      <w:numFmt w:val="decimal"/>
      <w:lvlText w:val="%1."/>
      <w:lvlJc w:val="left"/>
      <w:pPr>
        <w:ind w:left="1169" w:hanging="360"/>
      </w:pPr>
    </w:lvl>
    <w:lvl w:ilvl="1" w:tplc="04160019" w:tentative="1">
      <w:start w:val="1"/>
      <w:numFmt w:val="lowerLetter"/>
      <w:lvlText w:val="%2."/>
      <w:lvlJc w:val="left"/>
      <w:pPr>
        <w:ind w:left="1889" w:hanging="360"/>
      </w:pPr>
    </w:lvl>
    <w:lvl w:ilvl="2" w:tplc="0416001B" w:tentative="1">
      <w:start w:val="1"/>
      <w:numFmt w:val="lowerRoman"/>
      <w:lvlText w:val="%3."/>
      <w:lvlJc w:val="right"/>
      <w:pPr>
        <w:ind w:left="2609" w:hanging="180"/>
      </w:pPr>
    </w:lvl>
    <w:lvl w:ilvl="3" w:tplc="0416000F" w:tentative="1">
      <w:start w:val="1"/>
      <w:numFmt w:val="decimal"/>
      <w:lvlText w:val="%4."/>
      <w:lvlJc w:val="left"/>
      <w:pPr>
        <w:ind w:left="3329" w:hanging="360"/>
      </w:pPr>
    </w:lvl>
    <w:lvl w:ilvl="4" w:tplc="04160019" w:tentative="1">
      <w:start w:val="1"/>
      <w:numFmt w:val="lowerLetter"/>
      <w:lvlText w:val="%5."/>
      <w:lvlJc w:val="left"/>
      <w:pPr>
        <w:ind w:left="4049" w:hanging="360"/>
      </w:pPr>
    </w:lvl>
    <w:lvl w:ilvl="5" w:tplc="0416001B" w:tentative="1">
      <w:start w:val="1"/>
      <w:numFmt w:val="lowerRoman"/>
      <w:lvlText w:val="%6."/>
      <w:lvlJc w:val="right"/>
      <w:pPr>
        <w:ind w:left="4769" w:hanging="180"/>
      </w:pPr>
    </w:lvl>
    <w:lvl w:ilvl="6" w:tplc="0416000F" w:tentative="1">
      <w:start w:val="1"/>
      <w:numFmt w:val="decimal"/>
      <w:lvlText w:val="%7."/>
      <w:lvlJc w:val="left"/>
      <w:pPr>
        <w:ind w:left="5489" w:hanging="360"/>
      </w:pPr>
    </w:lvl>
    <w:lvl w:ilvl="7" w:tplc="04160019" w:tentative="1">
      <w:start w:val="1"/>
      <w:numFmt w:val="lowerLetter"/>
      <w:lvlText w:val="%8."/>
      <w:lvlJc w:val="left"/>
      <w:pPr>
        <w:ind w:left="6209" w:hanging="360"/>
      </w:pPr>
    </w:lvl>
    <w:lvl w:ilvl="8" w:tplc="0416001B" w:tentative="1">
      <w:start w:val="1"/>
      <w:numFmt w:val="lowerRoman"/>
      <w:lvlText w:val="%9."/>
      <w:lvlJc w:val="right"/>
      <w:pPr>
        <w:ind w:left="6929" w:hanging="180"/>
      </w:pPr>
    </w:lvl>
  </w:abstractNum>
  <w:num w:numId="1" w16cid:durableId="1910459020">
    <w:abstractNumId w:val="1"/>
  </w:num>
  <w:num w:numId="2" w16cid:durableId="1034229249">
    <w:abstractNumId w:val="0"/>
  </w:num>
  <w:num w:numId="3" w16cid:durableId="1931043277">
    <w:abstractNumId w:val="2"/>
  </w:num>
  <w:num w:numId="4" w16cid:durableId="1224482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712"/>
    <w:rsid w:val="000F30ED"/>
    <w:rsid w:val="00100F68"/>
    <w:rsid w:val="00145B46"/>
    <w:rsid w:val="00197321"/>
    <w:rsid w:val="00280D0B"/>
    <w:rsid w:val="00337E89"/>
    <w:rsid w:val="003907E1"/>
    <w:rsid w:val="00502A75"/>
    <w:rsid w:val="00513C92"/>
    <w:rsid w:val="005E06F0"/>
    <w:rsid w:val="0062028E"/>
    <w:rsid w:val="00623937"/>
    <w:rsid w:val="006A426D"/>
    <w:rsid w:val="006D09EF"/>
    <w:rsid w:val="008B0FE1"/>
    <w:rsid w:val="008E784D"/>
    <w:rsid w:val="009568CB"/>
    <w:rsid w:val="009F0F44"/>
    <w:rsid w:val="00A17547"/>
    <w:rsid w:val="00AF66B9"/>
    <w:rsid w:val="00B11597"/>
    <w:rsid w:val="00CA1712"/>
    <w:rsid w:val="00E04282"/>
    <w:rsid w:val="00E6092C"/>
    <w:rsid w:val="00EF73D4"/>
    <w:rsid w:val="00F82D10"/>
    <w:rsid w:val="00FA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C9953"/>
  <w15:docId w15:val="{9A074209-10EF-405A-94B5-470C5F79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har">
    <w:name w:val="Título 4 Char"/>
    <w:basedOn w:val="Fontepargpadro"/>
    <w:link w:val="Ttulo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eSutil">
    <w:name w:val="Subtle Emphasis"/>
    <w:basedOn w:val="Fontepargpadro"/>
    <w:uiPriority w:val="19"/>
    <w:qFormat/>
    <w:rPr>
      <w:i/>
      <w:iCs/>
      <w:color w:val="808080" w:themeColor="text1" w:themeTint="7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nfaseIntensa">
    <w:name w:val="Intense Emphasis"/>
    <w:basedOn w:val="Fontepargpadro"/>
    <w:uiPriority w:val="21"/>
    <w:qFormat/>
    <w:rPr>
      <w:b/>
      <w:bCs/>
      <w:i/>
      <w:iCs/>
      <w:color w:val="4F81BD" w:themeColor="accent1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Pr>
      <w:b/>
      <w:bCs/>
      <w:smallCaps/>
      <w:spacing w:val="5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unhideWhenUsed/>
    <w:rPr>
      <w:color w:val="800080" w:themeColor="followedHyperlink"/>
      <w:u w:val="single"/>
    </w:rPr>
  </w:style>
  <w:style w:type="paragraph" w:customStyle="1" w:styleId="Default">
    <w:name w:val="Default"/>
    <w:rsid w:val="00CA17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8B0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45B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45B46"/>
  </w:style>
  <w:style w:type="paragraph" w:styleId="Rodap">
    <w:name w:val="footer"/>
    <w:basedOn w:val="Normal"/>
    <w:link w:val="RodapChar"/>
    <w:uiPriority w:val="99"/>
    <w:unhideWhenUsed/>
    <w:rsid w:val="00145B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45B46"/>
  </w:style>
  <w:style w:type="paragraph" w:customStyle="1" w:styleId="cabecalhocentralizado">
    <w:name w:val="cabecalho_centralizado"/>
    <w:basedOn w:val="Normal"/>
    <w:rsid w:val="0014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becalhoalinhadoesquerda">
    <w:name w:val="cabecalho_alinhado_esquerda"/>
    <w:basedOn w:val="Normal"/>
    <w:rsid w:val="0014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9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6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2</TotalTime>
  <Pages>3</Pages>
  <Words>951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SERPRO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Ministerio da Economia</dc:creator>
  <cp:keywords/>
  <dc:description/>
  <cp:lastModifiedBy>Waleres Moreira De Paula</cp:lastModifiedBy>
  <cp:revision>2</cp:revision>
  <dcterms:created xsi:type="dcterms:W3CDTF">2025-05-14T13:48:00Z</dcterms:created>
  <dcterms:modified xsi:type="dcterms:W3CDTF">2025-05-14T13:48:00Z</dcterms:modified>
</cp:coreProperties>
</file>